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0F5B6D45" w:rsidR="002D23F4" w:rsidRPr="009F4785" w:rsidRDefault="003C3CEC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17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6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1030BE5C" w:rsidR="002D23F4" w:rsidRPr="005E0EDE" w:rsidRDefault="002D23F4" w:rsidP="00083A1C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договора на </w:t>
      </w:r>
      <w:r w:rsidR="004313E7">
        <w:rPr>
          <w:color w:val="000000" w:themeColor="text1"/>
          <w:sz w:val="32"/>
          <w:szCs w:val="32"/>
        </w:rPr>
        <w:t>«</w:t>
      </w:r>
      <w:r w:rsidR="00083A1C">
        <w:rPr>
          <w:color w:val="000000" w:themeColor="text1"/>
          <w:sz w:val="32"/>
          <w:szCs w:val="32"/>
        </w:rPr>
        <w:t>Разработку проекта Зон санитарной охраны 3-х водозаборных скважин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1837F45A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45FFAEF7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C86BF4">
        <w:rPr>
          <w:b/>
          <w:sz w:val="28"/>
          <w:szCs w:val="32"/>
        </w:rPr>
        <w:t>4</w:t>
      </w:r>
      <w:r w:rsidR="003C3CEC">
        <w:rPr>
          <w:b/>
          <w:sz w:val="28"/>
          <w:szCs w:val="32"/>
        </w:rPr>
        <w:t>4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1534D1C5" w:rsidR="002D23F4" w:rsidRPr="009F4785" w:rsidRDefault="00C86BF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74.20.37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5557BADC" w:rsidR="002D23F4" w:rsidRPr="009F4785" w:rsidRDefault="00C86BF4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71.12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1246B264" w:rsidR="000F6538" w:rsidRPr="00933971" w:rsidRDefault="00933971" w:rsidP="00D363F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083A1C" w:rsidRPr="00083A1C">
              <w:rPr>
                <w:rFonts w:ascii="Times New Roman" w:hAnsi="Times New Roman" w:cs="Times New Roman"/>
                <w:color w:val="000000" w:themeColor="text1"/>
                <w:szCs w:val="32"/>
              </w:rPr>
              <w:t>Разработк</w:t>
            </w:r>
            <w:r w:rsidR="00D363FD">
              <w:rPr>
                <w:rFonts w:ascii="Times New Roman" w:hAnsi="Times New Roman" w:cs="Times New Roman"/>
                <w:color w:val="000000" w:themeColor="text1"/>
                <w:szCs w:val="32"/>
              </w:rPr>
              <w:t>а</w:t>
            </w:r>
            <w:r w:rsidR="00083A1C" w:rsidRPr="00083A1C"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 проекта Зон санитарной охраны 3-х водозаборных скважин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3A4B67B0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54076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 и Тамбовского района</w:t>
            </w:r>
            <w:bookmarkStart w:id="0" w:name="_GoBack"/>
            <w:bookmarkEnd w:id="0"/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1EDD16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120C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30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сентября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6B702ADD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D363FD">
              <w:rPr>
                <w:color w:val="000000" w:themeColor="text1"/>
              </w:rPr>
              <w:t>150</w:t>
            </w:r>
            <w:r w:rsidR="00C86BF4">
              <w:rPr>
                <w:color w:val="000000" w:themeColor="text1"/>
              </w:rPr>
              <w:t xml:space="preserve"> 000</w:t>
            </w:r>
            <w:r w:rsidR="00BB5312"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</w:t>
            </w:r>
            <w:r w:rsidRPr="00037114">
              <w:rPr>
                <w:sz w:val="24"/>
                <w:szCs w:val="24"/>
              </w:rPr>
              <w:lastRenderedPageBreak/>
              <w:t>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</w:t>
            </w:r>
            <w:r w:rsidRPr="008439AE">
              <w:rPr>
                <w:b/>
                <w:color w:val="000000" w:themeColor="text1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0F08C40C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3C3CEC">
              <w:rPr>
                <w:sz w:val="24"/>
                <w:szCs w:val="24"/>
                <w:highlight w:val="yellow"/>
                <w:lang w:val="ru-RU"/>
              </w:rPr>
              <w:t>02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3C3CEC">
              <w:rPr>
                <w:sz w:val="24"/>
                <w:szCs w:val="24"/>
                <w:highlight w:val="yellow"/>
                <w:lang w:val="ru-RU"/>
              </w:rPr>
              <w:t>июля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lastRenderedPageBreak/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2CEA0B26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3C3CE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16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DF56B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ию</w:t>
            </w:r>
            <w:r w:rsidR="003C3CEC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л</w:t>
            </w:r>
            <w:r w:rsidR="00DF56B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</w:t>
            </w:r>
            <w:r w:rsidRPr="00756671">
              <w:rPr>
                <w:color w:val="000000" w:themeColor="text1"/>
              </w:rPr>
              <w:lastRenderedPageBreak/>
              <w:t xml:space="preserve">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0768">
      <w:rPr>
        <w:noProof/>
      </w:rPr>
      <w:t>3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F710E-52BC-467E-8CFA-A7616262E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22</Pages>
  <Words>6579</Words>
  <Characters>37501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43993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42</cp:revision>
  <cp:lastPrinted>2019-02-04T06:44:00Z</cp:lastPrinted>
  <dcterms:created xsi:type="dcterms:W3CDTF">2019-02-07T06:22:00Z</dcterms:created>
  <dcterms:modified xsi:type="dcterms:W3CDTF">2019-06-17T06:09:00Z</dcterms:modified>
</cp:coreProperties>
</file>